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BF16FC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Metric </w:t>
      </w:r>
      <w:r w:rsidR="002B286D">
        <w:rPr>
          <w:b/>
        </w:rPr>
        <w:t xml:space="preserve">Measures Codebreaker </w:t>
      </w:r>
      <w:r w:rsidR="00B15503">
        <w:rPr>
          <w:b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2"/>
        <w:gridCol w:w="1199"/>
        <w:gridCol w:w="1199"/>
        <w:gridCol w:w="1199"/>
        <w:gridCol w:w="1199"/>
        <w:gridCol w:w="1202"/>
        <w:gridCol w:w="1202"/>
        <w:gridCol w:w="1202"/>
        <w:gridCol w:w="1202"/>
        <w:gridCol w:w="1199"/>
      </w:tblGrid>
      <w:tr w:rsid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M</w:t>
            </w:r>
          </w:p>
        </w:tc>
      </w:tr>
      <w:tr w:rsidR="000508B6" w:rsidRPr="000508B6" w:rsidTr="000508B6">
        <w:trPr>
          <w:trHeight w:val="39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0.075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 w:rsidR="000508B6" w:rsidTr="000508B6">
        <w:trPr>
          <w:trHeight w:val="39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</w:tr>
      <w:tr w:rsid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Z</w:t>
            </w:r>
          </w:p>
        </w:tc>
      </w:tr>
      <w:tr w:rsidR="000508B6" w:rsidRP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4C2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87.3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187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187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8.73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384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0.873</w:t>
            </w:r>
          </w:p>
        </w:tc>
        <w:tc>
          <w:tcPr>
            <w:tcW w:w="384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385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0.0873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0.0075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0.214</w:t>
            </w:r>
          </w:p>
        </w:tc>
      </w:tr>
    </w:tbl>
    <w:p w:rsidR="000508B6" w:rsidRDefault="000508B6" w:rsidP="00BA16A1">
      <w:pPr>
        <w:spacing w:after="0"/>
        <w:jc w:val="center"/>
      </w:pPr>
    </w:p>
    <w:p w:rsidR="00BF16FC" w:rsidRDefault="002B286D" w:rsidP="00BF16FC">
      <w:pPr>
        <w:spacing w:after="0"/>
        <w:jc w:val="center"/>
      </w:pPr>
      <w:r>
        <w:t>Convert the measure to the unit required</w:t>
      </w:r>
      <w:r w:rsidR="00D63AA6">
        <w:t xml:space="preserve">, link your answers to the table above and </w:t>
      </w:r>
      <w:r>
        <w:t>figure out</w:t>
      </w:r>
      <w:r w:rsidR="00D63AA6">
        <w:t xml:space="preserve"> the letters to </w:t>
      </w:r>
      <w:r>
        <w:t>reveal the answer to the question “What do sprinters eat before they have a race?</w:t>
      </w:r>
      <w:proofErr w:type="gramStart"/>
      <w:r>
        <w:t>”</w:t>
      </w:r>
      <w:r w:rsidR="00D63AA6">
        <w:t>: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4"/>
        <w:gridCol w:w="2601"/>
        <w:gridCol w:w="2604"/>
        <w:gridCol w:w="2601"/>
      </w:tblGrid>
      <w:tr w:rsidR="00712804" w:rsidRPr="00CB2814" w:rsidTr="00712804">
        <w:tc>
          <w:tcPr>
            <w:tcW w:w="833" w:type="pct"/>
            <w:vAlign w:val="center"/>
          </w:tcPr>
          <w:p w:rsidR="00712804" w:rsidRPr="00CB2814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 w:rsidRPr="00293698">
              <w:t>7.5km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873mm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 w:rsidRPr="00293698">
              <w:t>873m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0.873kg</w:t>
            </w:r>
          </w:p>
        </w:tc>
        <w:tc>
          <w:tcPr>
            <w:tcW w:w="833" w:type="pct"/>
            <w:vAlign w:val="center"/>
          </w:tcPr>
          <w:p w:rsidR="00712804" w:rsidRPr="00293698" w:rsidRDefault="00D316F3" w:rsidP="00D63AA6">
            <w:pPr>
              <w:jc w:val="center"/>
            </w:pPr>
            <w:r>
              <w:t>0.75l</w:t>
            </w:r>
          </w:p>
        </w:tc>
      </w:tr>
      <w:tr w:rsidR="00712804" w:rsidTr="00712804">
        <w:tc>
          <w:tcPr>
            <w:tcW w:w="833" w:type="pct"/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metres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centimetres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kilometres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grams</w:t>
            </w:r>
          </w:p>
        </w:tc>
        <w:tc>
          <w:tcPr>
            <w:tcW w:w="833" w:type="pct"/>
            <w:vAlign w:val="center"/>
          </w:tcPr>
          <w:p w:rsidR="00712804" w:rsidRDefault="00D653AD" w:rsidP="00D316F3">
            <w:pPr>
              <w:jc w:val="center"/>
            </w:pPr>
            <w:r>
              <w:t>centi</w:t>
            </w:r>
            <w:r w:rsidR="00D316F3">
              <w:t>litres</w:t>
            </w: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4376FD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</w:tr>
      <w:tr w:rsidR="00712804" w:rsidRPr="00CB281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</w:rPr>
              <w:t>Measure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 w:rsidRPr="00293698">
              <w:t>7.5g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630cl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>
              <w:t>87.3cm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87300cm</w:t>
            </w:r>
          </w:p>
        </w:tc>
        <w:tc>
          <w:tcPr>
            <w:tcW w:w="833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6.3l</w:t>
            </w:r>
          </w:p>
        </w:tc>
      </w:tr>
      <w:tr w:rsidR="0071280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milligrams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litres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metres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metres</w:t>
            </w:r>
          </w:p>
        </w:tc>
        <w:tc>
          <w:tcPr>
            <w:tcW w:w="833" w:type="pct"/>
            <w:vAlign w:val="center"/>
          </w:tcPr>
          <w:p w:rsidR="00712804" w:rsidRDefault="00D653AD" w:rsidP="00D63AA6">
            <w:pPr>
              <w:jc w:val="center"/>
            </w:pPr>
            <w:r>
              <w:t>millilitres</w:t>
            </w: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</w:tr>
      <w:tr w:rsidR="00712804" w:rsidRPr="00CB281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</w:rPr>
              <w:t>Measure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>
              <w:t>7.5g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87.3l</w:t>
            </w:r>
          </w:p>
        </w:tc>
        <w:tc>
          <w:tcPr>
            <w:tcW w:w="833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75</w:t>
            </w:r>
            <w:r w:rsidR="00D316F3">
              <w:t>g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75cm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>
              <w:t>873g</w:t>
            </w:r>
          </w:p>
        </w:tc>
      </w:tr>
      <w:tr w:rsidR="0071280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kilograms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centilitres</w:t>
            </w:r>
          </w:p>
        </w:tc>
        <w:tc>
          <w:tcPr>
            <w:tcW w:w="833" w:type="pct"/>
            <w:vAlign w:val="center"/>
          </w:tcPr>
          <w:p w:rsidR="00712804" w:rsidRDefault="00D653AD" w:rsidP="00D63AA6">
            <w:pPr>
              <w:jc w:val="center"/>
            </w:pPr>
            <w:r>
              <w:t>kilograms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metres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kilograms</w:t>
            </w:r>
          </w:p>
        </w:tc>
      </w:tr>
      <w:tr w:rsidR="00712804" w:rsidTr="00712804">
        <w:trPr>
          <w:trHeight w:val="510"/>
        </w:trPr>
        <w:tc>
          <w:tcPr>
            <w:tcW w:w="833" w:type="pct"/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33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rPr>
          <w:trHeight w:val="510"/>
        </w:trPr>
        <w:tc>
          <w:tcPr>
            <w:tcW w:w="833" w:type="pct"/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833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0508B6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B6"/>
    <w:rsid w:val="00020312"/>
    <w:rsid w:val="000508B6"/>
    <w:rsid w:val="00293698"/>
    <w:rsid w:val="002A7E63"/>
    <w:rsid w:val="002B286D"/>
    <w:rsid w:val="00304135"/>
    <w:rsid w:val="004376FD"/>
    <w:rsid w:val="004C2D67"/>
    <w:rsid w:val="00684B0B"/>
    <w:rsid w:val="00712804"/>
    <w:rsid w:val="00A13A53"/>
    <w:rsid w:val="00B15503"/>
    <w:rsid w:val="00BA16A1"/>
    <w:rsid w:val="00BF16FC"/>
    <w:rsid w:val="00C122BC"/>
    <w:rsid w:val="00CB2814"/>
    <w:rsid w:val="00D316F3"/>
    <w:rsid w:val="00D63AA6"/>
    <w:rsid w:val="00D653AD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719EF-C142-415E-8000-22B8F5E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WCClass9</cp:lastModifiedBy>
  <cp:revision>2</cp:revision>
  <dcterms:created xsi:type="dcterms:W3CDTF">2020-06-03T11:27:00Z</dcterms:created>
  <dcterms:modified xsi:type="dcterms:W3CDTF">2020-06-03T11:27:00Z</dcterms:modified>
</cp:coreProperties>
</file>